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43" w:rsidRDefault="00DB3A43" w:rsidP="00DB3A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DB3A43" w:rsidRDefault="00DB3A43" w:rsidP="00DB3A4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7285C" w:rsidRPr="00623112" w:rsidRDefault="0097285C" w:rsidP="0097285C">
      <w:pPr>
        <w:pStyle w:val="Default"/>
        <w:rPr>
          <w:rFonts w:ascii="Gill Sans MT" w:hAnsi="Gill Sans MT"/>
          <w:b/>
          <w:bCs/>
          <w:sz w:val="32"/>
          <w:szCs w:val="32"/>
        </w:rPr>
      </w:pPr>
      <w:r w:rsidRPr="00623112">
        <w:rPr>
          <w:rFonts w:ascii="Gill Sans MT" w:hAnsi="Gill Sans MT"/>
          <w:b/>
          <w:sz w:val="32"/>
          <w:szCs w:val="32"/>
        </w:rPr>
        <w:t>We</w:t>
      </w:r>
      <w:r w:rsidRPr="00623112">
        <w:rPr>
          <w:rFonts w:ascii="Gill Sans MT" w:hAnsi="Gill Sans MT"/>
          <w:b/>
          <w:bCs/>
          <w:sz w:val="32"/>
          <w:szCs w:val="32"/>
        </w:rPr>
        <w:t xml:space="preserve"> simplify the complexity of global regulations </w:t>
      </w:r>
    </w:p>
    <w:p w:rsidR="00BD5654" w:rsidRDefault="00BD5654" w:rsidP="00B84914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sz w:val="24"/>
          <w:szCs w:val="24"/>
        </w:rPr>
      </w:pPr>
      <w:bookmarkStart w:id="0" w:name="_GoBack"/>
      <w:bookmarkEnd w:id="0"/>
      <w:r w:rsidRPr="00B84914">
        <w:rPr>
          <w:rFonts w:ascii="Gill Sans MT" w:eastAsia="Times New Roman" w:hAnsi="Gill Sans MT" w:cs="Times New Roman"/>
          <w:sz w:val="24"/>
          <w:szCs w:val="24"/>
        </w:rPr>
        <w:t xml:space="preserve">Ampacet </w:t>
      </w:r>
      <w:r w:rsidR="00423319" w:rsidRPr="00B84914">
        <w:rPr>
          <w:rFonts w:ascii="Gill Sans MT" w:eastAsia="Times New Roman" w:hAnsi="Gill Sans MT" w:cs="Times New Roman"/>
          <w:sz w:val="24"/>
          <w:szCs w:val="24"/>
        </w:rPr>
        <w:t>meets and exceeds regulatory compliance</w:t>
      </w:r>
      <w:r w:rsidRPr="00B84914">
        <w:rPr>
          <w:rFonts w:ascii="Gill Sans MT" w:eastAsia="Times New Roman" w:hAnsi="Gill Sans MT" w:cs="Times New Roman"/>
          <w:sz w:val="24"/>
          <w:szCs w:val="24"/>
        </w:rPr>
        <w:t xml:space="preserve"> by integrating </w:t>
      </w:r>
      <w:r w:rsidR="00F5627A" w:rsidRPr="00B84914">
        <w:rPr>
          <w:rFonts w:ascii="Gill Sans MT" w:eastAsia="Times New Roman" w:hAnsi="Gill Sans MT" w:cs="Times New Roman"/>
          <w:sz w:val="24"/>
          <w:szCs w:val="24"/>
        </w:rPr>
        <w:t>the highest standards of</w:t>
      </w:r>
      <w:r w:rsidRPr="00B84914">
        <w:rPr>
          <w:rFonts w:ascii="Gill Sans MT" w:eastAsia="Times New Roman" w:hAnsi="Gill Sans MT" w:cs="Times New Roman"/>
          <w:sz w:val="24"/>
          <w:szCs w:val="24"/>
        </w:rPr>
        <w:t xml:space="preserve"> safety</w:t>
      </w:r>
      <w:r w:rsidR="00F5627A" w:rsidRPr="00B84914">
        <w:rPr>
          <w:rFonts w:ascii="Gill Sans MT" w:eastAsia="Times New Roman" w:hAnsi="Gill Sans MT" w:cs="Times New Roman"/>
          <w:sz w:val="24"/>
          <w:szCs w:val="24"/>
        </w:rPr>
        <w:t xml:space="preserve"> and</w:t>
      </w:r>
      <w:r w:rsidRPr="00B84914">
        <w:rPr>
          <w:rFonts w:ascii="Gill Sans MT" w:eastAsia="Times New Roman" w:hAnsi="Gill Sans MT" w:cs="Times New Roman"/>
          <w:sz w:val="24"/>
          <w:szCs w:val="24"/>
        </w:rPr>
        <w:t xml:space="preserve"> environmental </w:t>
      </w:r>
      <w:r w:rsidR="00F5627A" w:rsidRPr="00B84914">
        <w:rPr>
          <w:rFonts w:ascii="Gill Sans MT" w:eastAsia="Times New Roman" w:hAnsi="Gill Sans MT" w:cs="Times New Roman"/>
          <w:sz w:val="24"/>
          <w:szCs w:val="24"/>
        </w:rPr>
        <w:t xml:space="preserve">stewardship into every aspect of our operation. We also work closely with our suppliers and customers to </w:t>
      </w:r>
      <w:r w:rsidR="004E41C9" w:rsidRPr="00B84914">
        <w:rPr>
          <w:rFonts w:ascii="Gill Sans MT" w:eastAsia="Times New Roman" w:hAnsi="Gill Sans MT" w:cs="Times New Roman"/>
          <w:sz w:val="24"/>
          <w:szCs w:val="24"/>
        </w:rPr>
        <w:t xml:space="preserve">promote responsible and sustainable business operations. Ampacet applies these high standards in every place we do business around the globe. </w:t>
      </w:r>
    </w:p>
    <w:p w:rsidR="00B84914" w:rsidRPr="00415893" w:rsidRDefault="00B84914" w:rsidP="00B84914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4472C4" w:themeColor="accent1"/>
        </w:rPr>
      </w:pPr>
      <w:r w:rsidRPr="00415893">
        <w:rPr>
          <w:rFonts w:ascii="Gill Sans MT" w:hAnsi="Gill Sans MT" w:cstheme="minorBidi"/>
          <w:bCs/>
          <w:color w:val="4472C4" w:themeColor="accent1"/>
          <w:kern w:val="24"/>
          <w:u w:val="single"/>
        </w:rPr>
        <w:t>Regulatory Document Request</w:t>
      </w:r>
    </w:p>
    <w:p w:rsidR="00B84914" w:rsidRPr="00415893" w:rsidRDefault="00B84914" w:rsidP="00B84914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4472C4" w:themeColor="accent1"/>
        </w:rPr>
      </w:pPr>
      <w:r w:rsidRPr="00415893">
        <w:rPr>
          <w:rFonts w:ascii="Gill Sans MT" w:hAnsi="Gill Sans MT" w:cstheme="minorBidi"/>
          <w:bCs/>
          <w:color w:val="4472C4" w:themeColor="accent1"/>
          <w:kern w:val="24"/>
          <w:u w:val="single"/>
        </w:rPr>
        <w:t>Quality –ISO Certifications</w:t>
      </w:r>
    </w:p>
    <w:p w:rsidR="00B84914" w:rsidRPr="00415893" w:rsidRDefault="00B84914" w:rsidP="00B84914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4472C4" w:themeColor="accent1"/>
        </w:rPr>
      </w:pPr>
      <w:r w:rsidRPr="00415893">
        <w:rPr>
          <w:rFonts w:ascii="Gill Sans MT" w:hAnsi="Gill Sans MT" w:cstheme="minorBidi"/>
          <w:bCs/>
          <w:color w:val="4472C4" w:themeColor="accent1"/>
          <w:kern w:val="24"/>
          <w:u w:val="single"/>
        </w:rPr>
        <w:t>Environmental-OHSAS Certifications</w:t>
      </w:r>
    </w:p>
    <w:p w:rsidR="00B84914" w:rsidRPr="00415893" w:rsidRDefault="00B84914" w:rsidP="00B84914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4472C4" w:themeColor="accent1"/>
        </w:rPr>
      </w:pPr>
      <w:r w:rsidRPr="00415893">
        <w:rPr>
          <w:rFonts w:ascii="Gill Sans MT" w:hAnsi="Gill Sans MT" w:cstheme="minorBidi"/>
          <w:bCs/>
          <w:color w:val="4472C4" w:themeColor="accent1"/>
          <w:kern w:val="24"/>
          <w:u w:val="single"/>
        </w:rPr>
        <w:t>California Transparency in Supply Chain Act of 2010</w:t>
      </w:r>
    </w:p>
    <w:p w:rsidR="00B84914" w:rsidRPr="00415893" w:rsidRDefault="00B84914" w:rsidP="00B84914">
      <w:pPr>
        <w:pStyle w:val="ListParagraph"/>
        <w:numPr>
          <w:ilvl w:val="0"/>
          <w:numId w:val="2"/>
        </w:numPr>
        <w:spacing w:line="276" w:lineRule="auto"/>
        <w:rPr>
          <w:rFonts w:eastAsia="Times New Roman"/>
          <w:color w:val="4472C4" w:themeColor="accent1"/>
        </w:rPr>
      </w:pPr>
      <w:r w:rsidRPr="00415893">
        <w:rPr>
          <w:rFonts w:ascii="Gill Sans MT" w:hAnsi="Gill Sans MT" w:cstheme="minorBidi"/>
          <w:bCs/>
          <w:color w:val="4472C4" w:themeColor="accent1"/>
          <w:kern w:val="24"/>
          <w:u w:val="single"/>
        </w:rPr>
        <w:t>Canadian Regulatory</w:t>
      </w:r>
    </w:p>
    <w:p w:rsidR="00D23530" w:rsidRPr="00B84914" w:rsidRDefault="00D23530" w:rsidP="00B84914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sz w:val="24"/>
          <w:szCs w:val="24"/>
        </w:rPr>
      </w:pPr>
    </w:p>
    <w:p w:rsidR="00D23530" w:rsidRPr="00B84914" w:rsidRDefault="008858A8" w:rsidP="00B84914">
      <w:p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sz w:val="24"/>
          <w:szCs w:val="24"/>
        </w:rPr>
      </w:pPr>
      <w:r w:rsidRPr="006C1D5E">
        <w:rPr>
          <w:rFonts w:ascii="Gill Sans MT" w:eastAsia="Times New Roman" w:hAnsi="Gill Sans MT" w:cs="Times New Roman"/>
        </w:rPr>
        <w:fldChar w:fldCharType="begin"/>
      </w:r>
      <w:r w:rsidRPr="006C1D5E">
        <w:rPr>
          <w:rFonts w:ascii="Gill Sans MT" w:eastAsia="Times New Roman" w:hAnsi="Gill Sans MT" w:cs="Times New Roman"/>
        </w:rPr>
        <w:instrText xml:space="preserve"> INCLUDEPICTURE "http://iconbug.com/data/5b/507/52ff0e80b07d28b590bbc4b30befde52.png" \* MERGEFORMATINET </w:instrText>
      </w:r>
      <w:r w:rsidRPr="006C1D5E">
        <w:rPr>
          <w:rFonts w:ascii="Gill Sans MT" w:eastAsia="Times New Roman" w:hAnsi="Gill Sans MT" w:cs="Times New Roman"/>
        </w:rPr>
        <w:fldChar w:fldCharType="separate"/>
      </w:r>
      <w:r w:rsidRPr="006C1D5E">
        <w:rPr>
          <w:rFonts w:ascii="Gill Sans MT" w:eastAsia="Times New Roman" w:hAnsi="Gill Sans MT" w:cs="Times New Roman"/>
          <w:noProof/>
        </w:rPr>
        <w:drawing>
          <wp:inline distT="0" distB="0" distL="0" distR="0" wp14:anchorId="5EB5DC3C" wp14:editId="01CECD3B">
            <wp:extent cx="514254" cy="5715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36" cy="59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D5E">
        <w:rPr>
          <w:rFonts w:ascii="Gill Sans MT" w:eastAsia="Times New Roman" w:hAnsi="Gill Sans MT" w:cs="Times New Roman"/>
        </w:rPr>
        <w:fldChar w:fldCharType="end"/>
      </w:r>
      <w:r w:rsidR="00B84914" w:rsidRPr="00B84914">
        <w:rPr>
          <w:rFonts w:ascii="Gill Sans MT" w:eastAsia="Times New Roman" w:hAnsi="Gill Sans M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92DE6" wp14:editId="37B2AC7E">
                <wp:simplePos x="0" y="0"/>
                <wp:positionH relativeFrom="column">
                  <wp:posOffset>279400</wp:posOffset>
                </wp:positionH>
                <wp:positionV relativeFrom="paragraph">
                  <wp:posOffset>749300</wp:posOffset>
                </wp:positionV>
                <wp:extent cx="3279323" cy="707886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DEE8C7-BBE6-664C-BEAC-A1E0AA5F0C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323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30" w:rsidRDefault="00D23530" w:rsidP="00D235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92DE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pt;margin-top:59pt;width:258.2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" filled="f" stroked="f">
                <v:textbox style="mso-fit-shape-to-text:t">
                  <w:txbxContent>
                    <w:p w:rsidR="00D23530" w:rsidRDefault="00D23530" w:rsidP="00D235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3530" w:rsidRPr="00B84914" w:rsidSect="0067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A6D7B"/>
    <w:multiLevelType w:val="hybridMultilevel"/>
    <w:tmpl w:val="BE04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F22F7"/>
    <w:multiLevelType w:val="hybridMultilevel"/>
    <w:tmpl w:val="16C258EE"/>
    <w:lvl w:ilvl="0" w:tplc="07767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6A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EE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46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2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E1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CE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6E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65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AE16B0"/>
    <w:multiLevelType w:val="multilevel"/>
    <w:tmpl w:val="3B1E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F4"/>
    <w:rsid w:val="00051575"/>
    <w:rsid w:val="0009698A"/>
    <w:rsid w:val="00314D78"/>
    <w:rsid w:val="003A2F68"/>
    <w:rsid w:val="00415893"/>
    <w:rsid w:val="00423319"/>
    <w:rsid w:val="004E41C9"/>
    <w:rsid w:val="00611D3D"/>
    <w:rsid w:val="0067330F"/>
    <w:rsid w:val="007B4500"/>
    <w:rsid w:val="00877367"/>
    <w:rsid w:val="008858A8"/>
    <w:rsid w:val="0097285C"/>
    <w:rsid w:val="009F56B4"/>
    <w:rsid w:val="00B84914"/>
    <w:rsid w:val="00BD5654"/>
    <w:rsid w:val="00CC46F4"/>
    <w:rsid w:val="00D23530"/>
    <w:rsid w:val="00DB3A43"/>
    <w:rsid w:val="00F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1CC902A-C4E7-A749-B8EC-88E232F4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Gill Sans Light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6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5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97285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Altstiel</dc:creator>
  <cp:keywords/>
  <dc:description/>
  <cp:lastModifiedBy>Tom Altstiel</cp:lastModifiedBy>
  <cp:revision>7</cp:revision>
  <dcterms:created xsi:type="dcterms:W3CDTF">2018-04-26T22:59:00Z</dcterms:created>
  <dcterms:modified xsi:type="dcterms:W3CDTF">2018-05-16T01:02:00Z</dcterms:modified>
</cp:coreProperties>
</file>